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94"/>
        <w:gridCol w:w="4205"/>
      </w:tblGrid>
      <w:tr w:rsidR="00AD2065" w:rsidTr="00B34DA9">
        <w:trPr>
          <w:trHeight w:val="915"/>
        </w:trPr>
        <w:tc>
          <w:tcPr>
            <w:tcW w:w="5644" w:type="dxa"/>
            <w:vAlign w:val="center"/>
          </w:tcPr>
          <w:p w:rsidR="00907E0D" w:rsidRDefault="00B34DA9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2014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B34DA9" w:rsidP="006B2D78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678" w:type="dxa"/>
          </w:tcPr>
          <w:p w:rsidR="00AD2065" w:rsidRDefault="00C67B1D" w:rsidP="00B27C5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6</w:t>
            </w:r>
            <w:r w:rsidR="007E656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6B2D78" w:rsidRPr="006B2D78" w:rsidRDefault="000F3A7D" w:rsidP="00ED752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Hanehalkı İşgücü İstatistikleri Türkiye İstatistik Kurumu tarafından </w:t>
      </w:r>
      <w:r w:rsidR="00C67B1D">
        <w:rPr>
          <w:rFonts w:ascii="Times New Roman" w:hAnsi="Times New Roman" w:cs="Times New Roman"/>
          <w:b/>
        </w:rPr>
        <w:t>6 Mart 2015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 xml:space="preserve">açıklandı. </w:t>
      </w:r>
    </w:p>
    <w:p w:rsidR="001E65DA" w:rsidRDefault="00C67B1D" w:rsidP="001E65DA">
      <w:pPr>
        <w:pStyle w:val="Balk2"/>
      </w:pPr>
      <w:r>
        <w:t>2014 ‘te Türkiye’de toplam işsizlik %9,9</w:t>
      </w:r>
      <w:r w:rsidR="001E65DA">
        <w:t xml:space="preserve">, </w:t>
      </w:r>
      <w:r w:rsidR="00F21401">
        <w:t xml:space="preserve">tarım dışı </w:t>
      </w:r>
      <w:r>
        <w:t>işsizlik ise %12 olarak gerçekleşti</w:t>
      </w:r>
      <w:r w:rsidR="001E65DA">
        <w:t>. Genç nüfusta ise işsizlik</w:t>
      </w:r>
      <w:r>
        <w:t xml:space="preserve"> 2013 yılına göre artarak %17,9</w:t>
      </w:r>
      <w:r w:rsidR="001E65DA">
        <w:t xml:space="preserve"> oranı</w:t>
      </w:r>
      <w:r>
        <w:t>nda gerçekleşti.</w:t>
      </w:r>
    </w:p>
    <w:p w:rsidR="001E65DA" w:rsidRPr="001E65DA" w:rsidRDefault="001E65DA" w:rsidP="001E65DA"/>
    <w:p w:rsidR="00B957A3" w:rsidRDefault="000F3A7D" w:rsidP="00ED75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 w:rsidR="00ED7524" w:rsidRPr="005D1CC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te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 201</w:t>
      </w:r>
      <w:r w:rsidR="00AF7253">
        <w:rPr>
          <w:rFonts w:ascii="Times New Roman" w:hAnsi="Times New Roman" w:cs="Times New Roman"/>
        </w:rPr>
        <w:t>3 yılına göre artış göstererek</w:t>
      </w:r>
      <w:r w:rsidR="00C67B1D">
        <w:rPr>
          <w:rFonts w:ascii="Times New Roman" w:hAnsi="Times New Roman" w:cs="Times New Roman"/>
        </w:rPr>
        <w:t xml:space="preserve"> 25,933</w:t>
      </w:r>
      <w:r w:rsidR="00F21401">
        <w:rPr>
          <w:rFonts w:ascii="Times New Roman" w:hAnsi="Times New Roman" w:cs="Times New Roman"/>
        </w:rPr>
        <w:t xml:space="preserve"> </w:t>
      </w:r>
      <w:r w:rsidR="00C67B1D">
        <w:rPr>
          <w:rFonts w:ascii="Times New Roman" w:hAnsi="Times New Roman" w:cs="Times New Roman"/>
        </w:rPr>
        <w:t>milyon kişi oldu</w:t>
      </w:r>
      <w:r w:rsidR="001A195B">
        <w:rPr>
          <w:rFonts w:ascii="Times New Roman" w:hAnsi="Times New Roman" w:cs="Times New Roman"/>
        </w:rPr>
        <w:t>.</w:t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3E0504">
        <w:rPr>
          <w:rFonts w:ascii="Times New Roman" w:hAnsi="Times New Roman" w:cs="Times New Roman"/>
          <w:b/>
          <w:szCs w:val="18"/>
        </w:rPr>
        <w:t xml:space="preserve"> </w:t>
      </w:r>
      <w:r w:rsidRPr="00B53BE3">
        <w:rPr>
          <w:rFonts w:ascii="Times New Roman" w:hAnsi="Times New Roman" w:cs="Times New Roman"/>
          <w:b/>
          <w:szCs w:val="18"/>
        </w:rPr>
        <w:t>(</w:t>
      </w:r>
      <w:r w:rsidR="003E0504">
        <w:rPr>
          <w:rFonts w:ascii="Times New Roman" w:hAnsi="Times New Roman" w:cs="Times New Roman"/>
          <w:b/>
          <w:szCs w:val="18"/>
        </w:rPr>
        <w:t>Ocak</w:t>
      </w:r>
      <w:r w:rsidR="000F055A">
        <w:rPr>
          <w:rFonts w:ascii="Times New Roman" w:hAnsi="Times New Roman" w:cs="Times New Roman"/>
          <w:b/>
          <w:szCs w:val="18"/>
        </w:rPr>
        <w:t>-Aralık</w:t>
      </w:r>
      <w:r w:rsidR="00774754" w:rsidRPr="00B53BE3">
        <w:rPr>
          <w:rFonts w:ascii="Times New Roman" w:hAnsi="Times New Roman" w:cs="Times New Roman"/>
          <w:b/>
          <w:szCs w:val="18"/>
        </w:rPr>
        <w:t xml:space="preserve"> 2014</w:t>
      </w:r>
      <w:r w:rsidRPr="00B53BE3">
        <w:rPr>
          <w:rFonts w:ascii="Times New Roman" w:hAnsi="Times New Roman" w:cs="Times New Roman"/>
          <w:b/>
          <w:szCs w:val="18"/>
        </w:rPr>
        <w:t>)</w:t>
      </w:r>
    </w:p>
    <w:p w:rsidR="00ED7524" w:rsidRDefault="00496F35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noProof/>
        </w:rPr>
        <w:drawing>
          <wp:inline distT="0" distB="0" distL="0" distR="0">
            <wp:extent cx="5835650" cy="3092450"/>
            <wp:effectExtent l="0" t="0" r="12700" b="1270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AA0" w:rsidRDefault="00C67B1D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2014 yılında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dahil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 w:rsidR="00496F35">
        <w:rPr>
          <w:rFonts w:ascii="Times New Roman" w:hAnsi="Times New Roman" w:cs="Times New Roman"/>
          <w:szCs w:val="18"/>
        </w:rPr>
        <w:t xml:space="preserve">2013 yılına göre artarak </w:t>
      </w:r>
      <w:r>
        <w:rPr>
          <w:rFonts w:ascii="Times New Roman" w:hAnsi="Times New Roman" w:cs="Times New Roman"/>
          <w:szCs w:val="18"/>
        </w:rPr>
        <w:t>20.112</w:t>
      </w:r>
      <w:r w:rsidR="00F21401">
        <w:rPr>
          <w:rFonts w:ascii="Times New Roman" w:hAnsi="Times New Roman" w:cs="Times New Roman"/>
          <w:szCs w:val="18"/>
        </w:rPr>
        <w:t xml:space="preserve"> milyona ulaşırken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işgücüne dahil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8.089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>
        <w:rPr>
          <w:rFonts w:ascii="Times New Roman" w:hAnsi="Times New Roman" w:cs="Times New Roman"/>
          <w:szCs w:val="18"/>
        </w:rPr>
        <w:t>cüne dahil olmayanlar ise 28.200</w:t>
      </w:r>
      <w:r w:rsidR="00F12E5E">
        <w:rPr>
          <w:rFonts w:ascii="Times New Roman" w:hAnsi="Times New Roman" w:cs="Times New Roman"/>
          <w:szCs w:val="18"/>
        </w:rPr>
        <w:t xml:space="preserve"> milyon kişiye ulaştı.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461AA0" w:rsidRPr="00B53BE3">
        <w:rPr>
          <w:rFonts w:ascii="Times New Roman" w:hAnsi="Times New Roman" w:cs="Times New Roman"/>
          <w:szCs w:val="18"/>
        </w:rPr>
        <w:t>istihdamı 5</w:t>
      </w:r>
      <w:r>
        <w:rPr>
          <w:rFonts w:ascii="Times New Roman" w:hAnsi="Times New Roman" w:cs="Times New Roman"/>
          <w:szCs w:val="18"/>
        </w:rPr>
        <w:t xml:space="preserve">.470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1A195B" w:rsidRPr="00B53BE3">
        <w:rPr>
          <w:rFonts w:ascii="Times New Roman" w:hAnsi="Times New Roman" w:cs="Times New Roman"/>
          <w:szCs w:val="18"/>
        </w:rPr>
        <w:t>20</w:t>
      </w:r>
      <w:r w:rsidR="00B53BE3">
        <w:rPr>
          <w:rFonts w:ascii="Times New Roman" w:hAnsi="Times New Roman" w:cs="Times New Roman"/>
          <w:szCs w:val="18"/>
        </w:rPr>
        <w:t>.</w:t>
      </w:r>
      <w:r>
        <w:rPr>
          <w:rFonts w:ascii="Times New Roman" w:hAnsi="Times New Roman" w:cs="Times New Roman"/>
          <w:szCs w:val="18"/>
        </w:rPr>
        <w:t>462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 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  <w:bookmarkStart w:id="0" w:name="_GoBack"/>
      <w:bookmarkEnd w:id="0"/>
    </w:p>
    <w:p w:rsidR="00ED7524" w:rsidRPr="00B27A6A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B27A6A">
        <w:rPr>
          <w:rFonts w:ascii="Times New Roman" w:hAnsi="Times New Roman" w:cs="Times New Roman"/>
          <w:b/>
          <w:szCs w:val="18"/>
        </w:rPr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2014</w:t>
      </w:r>
    </w:p>
    <w:p w:rsidR="00774754" w:rsidRDefault="002A35B5" w:rsidP="00ED7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030359" cy="2634332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63" cy="2638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7A3" w:rsidRDefault="00B97F9C" w:rsidP="001E65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İ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>ılma oranı kadınlarda yüzde 33,6’ya</w:t>
      </w:r>
      <w:r w:rsidR="00F21401">
        <w:rPr>
          <w:rFonts w:ascii="Times New Roman" w:hAnsi="Times New Roman" w:cs="Times New Roman"/>
          <w:sz w:val="24"/>
        </w:rPr>
        <w:t xml:space="preserve"> gerilerken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F21401">
        <w:rPr>
          <w:rFonts w:ascii="Times New Roman" w:hAnsi="Times New Roman" w:cs="Times New Roman"/>
          <w:sz w:val="24"/>
        </w:rPr>
        <w:t xml:space="preserve">de gerileyerek </w:t>
      </w:r>
      <w:r w:rsidR="001A195B">
        <w:rPr>
          <w:rFonts w:ascii="Times New Roman" w:hAnsi="Times New Roman" w:cs="Times New Roman"/>
          <w:sz w:val="24"/>
        </w:rPr>
        <w:t>yüzde 7</w:t>
      </w:r>
      <w:r w:rsidR="00C67B1D">
        <w:rPr>
          <w:rFonts w:ascii="Times New Roman" w:hAnsi="Times New Roman" w:cs="Times New Roman"/>
          <w:sz w:val="24"/>
        </w:rPr>
        <w:t>1,3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496F35">
        <w:rPr>
          <w:rFonts w:ascii="Times New Roman" w:hAnsi="Times New Roman" w:cs="Times New Roman"/>
          <w:sz w:val="24"/>
        </w:rPr>
        <w:t xml:space="preserve">4 yılında </w:t>
      </w:r>
      <w:r w:rsidR="002A35B5">
        <w:rPr>
          <w:rFonts w:ascii="Times New Roman" w:hAnsi="Times New Roman" w:cs="Times New Roman"/>
          <w:sz w:val="24"/>
        </w:rPr>
        <w:t>kadınlarda yüzde 29,5</w:t>
      </w:r>
      <w:r w:rsidR="001A195B">
        <w:rPr>
          <w:rFonts w:ascii="Times New Roman" w:hAnsi="Times New Roman" w:cs="Times New Roman"/>
          <w:sz w:val="24"/>
        </w:rPr>
        <w:t xml:space="preserve">, erkeklerde yüzde </w:t>
      </w:r>
      <w:r w:rsidR="002A35B5">
        <w:rPr>
          <w:rFonts w:ascii="Times New Roman" w:hAnsi="Times New Roman" w:cs="Times New Roman"/>
          <w:sz w:val="24"/>
        </w:rPr>
        <w:t>69,5</w:t>
      </w:r>
      <w:r w:rsidR="001A195B">
        <w:rPr>
          <w:rFonts w:ascii="Times New Roman" w:hAnsi="Times New Roman" w:cs="Times New Roman"/>
          <w:sz w:val="24"/>
        </w:rPr>
        <w:t xml:space="preserve"> oldu. </w:t>
      </w:r>
      <w:r w:rsidR="001A195B" w:rsidRPr="005D1CCA">
        <w:rPr>
          <w:rFonts w:ascii="Times New Roman" w:hAnsi="Times New Roman" w:cs="Times New Roman"/>
        </w:rPr>
        <w:t xml:space="preserve">Türkiye genelinde </w:t>
      </w:r>
      <w:r w:rsidR="001A195B">
        <w:rPr>
          <w:rFonts w:ascii="Times New Roman" w:hAnsi="Times New Roman" w:cs="Times New Roman"/>
        </w:rPr>
        <w:t>15 yaş ve üstündeki bireylerde işsiz s</w:t>
      </w:r>
      <w:r w:rsidR="001A195B" w:rsidRPr="005D1CCA">
        <w:rPr>
          <w:rFonts w:ascii="Times New Roman" w:hAnsi="Times New Roman" w:cs="Times New Roman"/>
        </w:rPr>
        <w:t>ayısı</w:t>
      </w:r>
      <w:r w:rsidR="002A35B5">
        <w:rPr>
          <w:rFonts w:ascii="Times New Roman" w:hAnsi="Times New Roman" w:cs="Times New Roman"/>
        </w:rPr>
        <w:t xml:space="preserve"> 2013 yılına göre </w:t>
      </w:r>
      <w:r w:rsidR="00496F35">
        <w:rPr>
          <w:rFonts w:ascii="Times New Roman" w:hAnsi="Times New Roman" w:cs="Times New Roman"/>
        </w:rPr>
        <w:t>artarak</w:t>
      </w:r>
      <w:r w:rsidR="001A195B" w:rsidRPr="005D1CCA">
        <w:rPr>
          <w:rFonts w:ascii="Times New Roman" w:hAnsi="Times New Roman" w:cs="Times New Roman"/>
        </w:rPr>
        <w:t xml:space="preserve"> </w:t>
      </w:r>
      <w:r w:rsidR="002A35B5">
        <w:rPr>
          <w:rFonts w:ascii="Times New Roman" w:hAnsi="Times New Roman" w:cs="Times New Roman"/>
        </w:rPr>
        <w:t>2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2A35B5">
        <w:rPr>
          <w:rFonts w:ascii="Times New Roman" w:hAnsi="Times New Roman" w:cs="Times New Roman"/>
        </w:rPr>
        <w:t>853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141A4E">
        <w:rPr>
          <w:rFonts w:ascii="Times New Roman" w:hAnsi="Times New Roman" w:cs="Times New Roman"/>
        </w:rPr>
        <w:t xml:space="preserve"> kişiye çıktı</w:t>
      </w:r>
      <w:r w:rsidR="0027053F">
        <w:rPr>
          <w:rFonts w:ascii="Times New Roman" w:hAnsi="Times New Roman" w:cs="Times New Roman"/>
        </w:rPr>
        <w:t xml:space="preserve">. İşsizlik oranı </w:t>
      </w:r>
      <w:r w:rsidR="001A195B">
        <w:rPr>
          <w:rFonts w:ascii="Times New Roman" w:hAnsi="Times New Roman" w:cs="Times New Roman"/>
        </w:rPr>
        <w:t>toplamda yüzde 10</w:t>
      </w:r>
      <w:r w:rsidR="00363F39">
        <w:rPr>
          <w:rFonts w:ascii="Times New Roman" w:hAnsi="Times New Roman" w:cs="Times New Roman"/>
        </w:rPr>
        <w:t>,</w:t>
      </w:r>
      <w:r w:rsidR="002A35B5">
        <w:rPr>
          <w:rFonts w:ascii="Times New Roman" w:hAnsi="Times New Roman" w:cs="Times New Roman"/>
        </w:rPr>
        <w:t>1; kadınlarda yüzde 12,2</w:t>
      </w:r>
      <w:r w:rsidR="001A195B">
        <w:rPr>
          <w:rFonts w:ascii="Times New Roman" w:hAnsi="Times New Roman" w:cs="Times New Roman"/>
        </w:rPr>
        <w:t xml:space="preserve">, erkeklerde ise yüzde </w:t>
      </w:r>
      <w:r w:rsidR="002A35B5">
        <w:rPr>
          <w:rFonts w:ascii="Times New Roman" w:hAnsi="Times New Roman" w:cs="Times New Roman"/>
        </w:rPr>
        <w:t>9,2</w:t>
      </w:r>
      <w:r w:rsidR="001A195B">
        <w:rPr>
          <w:rFonts w:ascii="Times New Roman" w:hAnsi="Times New Roman" w:cs="Times New Roman"/>
        </w:rPr>
        <w:t>’</w:t>
      </w:r>
      <w:r w:rsidR="00496F35">
        <w:rPr>
          <w:rFonts w:ascii="Times New Roman" w:hAnsi="Times New Roman" w:cs="Times New Roman"/>
        </w:rPr>
        <w:t xml:space="preserve">ye ulaşmış </w:t>
      </w:r>
      <w:r w:rsidR="0027053F">
        <w:rPr>
          <w:rFonts w:ascii="Times New Roman" w:hAnsi="Times New Roman" w:cs="Times New Roman"/>
        </w:rPr>
        <w:t>oldu</w:t>
      </w:r>
      <w:r w:rsidR="001A195B">
        <w:rPr>
          <w:rFonts w:ascii="Times New Roman" w:hAnsi="Times New Roman" w:cs="Times New Roman"/>
        </w:rPr>
        <w:t xml:space="preserve">.  </w:t>
      </w:r>
    </w:p>
    <w:p w:rsidR="00ED7524" w:rsidRPr="00461AA0" w:rsidRDefault="00ED7524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yüzde </w:t>
      </w:r>
      <w:r w:rsidRPr="00461AA0">
        <w:rPr>
          <w:rFonts w:ascii="Times New Roman" w:hAnsi="Times New Roman" w:cs="Times New Roman"/>
          <w:b/>
          <w:szCs w:val="18"/>
        </w:rPr>
        <w:t>(</w:t>
      </w:r>
      <w:r w:rsidR="00461AA0" w:rsidRPr="00461AA0">
        <w:rPr>
          <w:rFonts w:ascii="Times New Roman" w:hAnsi="Times New Roman" w:cs="Times New Roman"/>
          <w:b/>
          <w:szCs w:val="18"/>
        </w:rPr>
        <w:t>2014</w:t>
      </w:r>
      <w:r w:rsidRPr="00461AA0">
        <w:rPr>
          <w:rFonts w:ascii="Times New Roman" w:hAnsi="Times New Roman" w:cs="Times New Roman"/>
          <w:b/>
          <w:szCs w:val="18"/>
        </w:rPr>
        <w:t>)</w:t>
      </w:r>
    </w:p>
    <w:p w:rsidR="00ED7524" w:rsidRDefault="002A35B5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noProof/>
        </w:rPr>
        <w:drawing>
          <wp:inline distT="0" distB="0" distL="0" distR="0">
            <wp:extent cx="4394200" cy="2635250"/>
            <wp:effectExtent l="0" t="0" r="25400" b="1270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BF" w:rsidRDefault="007E08BF" w:rsidP="00C04441">
      <w:pPr>
        <w:spacing w:after="0" w:line="240" w:lineRule="auto"/>
      </w:pPr>
      <w:r>
        <w:separator/>
      </w:r>
    </w:p>
  </w:endnote>
  <w:endnote w:type="continuationSeparator" w:id="0">
    <w:p w:rsidR="007E08BF" w:rsidRDefault="007E08BF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BF" w:rsidRDefault="007E08BF" w:rsidP="00C04441">
      <w:pPr>
        <w:spacing w:after="0" w:line="240" w:lineRule="auto"/>
      </w:pPr>
      <w:r>
        <w:separator/>
      </w:r>
    </w:p>
  </w:footnote>
  <w:footnote w:type="continuationSeparator" w:id="0">
    <w:p w:rsidR="007E08BF" w:rsidRDefault="007E08BF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71E7D"/>
    <w:rsid w:val="000B7EA9"/>
    <w:rsid w:val="000D18BE"/>
    <w:rsid w:val="000E7256"/>
    <w:rsid w:val="000F055A"/>
    <w:rsid w:val="000F3A7D"/>
    <w:rsid w:val="001243A0"/>
    <w:rsid w:val="00141A4E"/>
    <w:rsid w:val="001544CF"/>
    <w:rsid w:val="00157358"/>
    <w:rsid w:val="00160C8F"/>
    <w:rsid w:val="001A195B"/>
    <w:rsid w:val="001E11A2"/>
    <w:rsid w:val="001E5A63"/>
    <w:rsid w:val="001E65DA"/>
    <w:rsid w:val="001F7633"/>
    <w:rsid w:val="00220318"/>
    <w:rsid w:val="00233BD5"/>
    <w:rsid w:val="00234AE3"/>
    <w:rsid w:val="0027053F"/>
    <w:rsid w:val="00271FF8"/>
    <w:rsid w:val="002A35B5"/>
    <w:rsid w:val="002B53E4"/>
    <w:rsid w:val="002D3E19"/>
    <w:rsid w:val="00351561"/>
    <w:rsid w:val="00357954"/>
    <w:rsid w:val="00363F39"/>
    <w:rsid w:val="003641B3"/>
    <w:rsid w:val="003A57CB"/>
    <w:rsid w:val="003B5279"/>
    <w:rsid w:val="003C6747"/>
    <w:rsid w:val="003E0504"/>
    <w:rsid w:val="00424CC0"/>
    <w:rsid w:val="00432DF5"/>
    <w:rsid w:val="00461AA0"/>
    <w:rsid w:val="00496F35"/>
    <w:rsid w:val="00517288"/>
    <w:rsid w:val="00522A6C"/>
    <w:rsid w:val="005405F5"/>
    <w:rsid w:val="005500E3"/>
    <w:rsid w:val="0056193B"/>
    <w:rsid w:val="00574C38"/>
    <w:rsid w:val="005A5460"/>
    <w:rsid w:val="005C53F8"/>
    <w:rsid w:val="006020BD"/>
    <w:rsid w:val="00677B0D"/>
    <w:rsid w:val="006B2D78"/>
    <w:rsid w:val="006D41B5"/>
    <w:rsid w:val="0070186C"/>
    <w:rsid w:val="00731B2B"/>
    <w:rsid w:val="007330A1"/>
    <w:rsid w:val="00734FA5"/>
    <w:rsid w:val="007441EB"/>
    <w:rsid w:val="007736BE"/>
    <w:rsid w:val="00774754"/>
    <w:rsid w:val="007B58E6"/>
    <w:rsid w:val="007E08BF"/>
    <w:rsid w:val="007E6560"/>
    <w:rsid w:val="007F7E1F"/>
    <w:rsid w:val="00835D94"/>
    <w:rsid w:val="008820C9"/>
    <w:rsid w:val="008A575D"/>
    <w:rsid w:val="008B5FD9"/>
    <w:rsid w:val="008C2C15"/>
    <w:rsid w:val="008C7F9E"/>
    <w:rsid w:val="008D1077"/>
    <w:rsid w:val="00907E0D"/>
    <w:rsid w:val="00923FD3"/>
    <w:rsid w:val="00935B34"/>
    <w:rsid w:val="00995BB7"/>
    <w:rsid w:val="009A6E86"/>
    <w:rsid w:val="009F0A83"/>
    <w:rsid w:val="009F54F1"/>
    <w:rsid w:val="00A2391E"/>
    <w:rsid w:val="00A705F6"/>
    <w:rsid w:val="00A77365"/>
    <w:rsid w:val="00AD2065"/>
    <w:rsid w:val="00AF7253"/>
    <w:rsid w:val="00B24B2C"/>
    <w:rsid w:val="00B27A6A"/>
    <w:rsid w:val="00B27C50"/>
    <w:rsid w:val="00B34DA9"/>
    <w:rsid w:val="00B53BE3"/>
    <w:rsid w:val="00B71707"/>
    <w:rsid w:val="00B957A3"/>
    <w:rsid w:val="00B97F9C"/>
    <w:rsid w:val="00BA5C1B"/>
    <w:rsid w:val="00BB1743"/>
    <w:rsid w:val="00BC294E"/>
    <w:rsid w:val="00BC5F10"/>
    <w:rsid w:val="00C04441"/>
    <w:rsid w:val="00C144CC"/>
    <w:rsid w:val="00C21D8B"/>
    <w:rsid w:val="00C67B1D"/>
    <w:rsid w:val="00CC7D5F"/>
    <w:rsid w:val="00D2299D"/>
    <w:rsid w:val="00D23355"/>
    <w:rsid w:val="00D93669"/>
    <w:rsid w:val="00DB1389"/>
    <w:rsid w:val="00DC5FDC"/>
    <w:rsid w:val="00DE7934"/>
    <w:rsid w:val="00E619A9"/>
    <w:rsid w:val="00ED7524"/>
    <w:rsid w:val="00EF4E45"/>
    <w:rsid w:val="00EF778F"/>
    <w:rsid w:val="00F061D6"/>
    <w:rsid w:val="00F12E5E"/>
    <w:rsid w:val="00F21401"/>
    <w:rsid w:val="00F34C9C"/>
    <w:rsid w:val="00FB288F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8-PC\Desktop\Documents\TEPAV\i&#351;sizlik%20haber%20b&#252;lteni\Kitap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>
        <c:manualLayout>
          <c:layoutTarget val="inner"/>
          <c:xMode val="edge"/>
          <c:yMode val="edge"/>
          <c:x val="0.17941907261592313"/>
          <c:y val="5.6030183727034118E-2"/>
          <c:w val="0.50074650043744529"/>
          <c:h val="0.64642388451443589"/>
        </c:manualLayout>
      </c:layout>
      <c:lineChart>
        <c:grouping val="standard"/>
        <c:ser>
          <c:idx val="0"/>
          <c:order val="0"/>
          <c:tx>
            <c:strRef>
              <c:f>Sayfa1!$O$1</c:f>
              <c:strCache>
                <c:ptCount val="1"/>
                <c:pt idx="0">
                  <c:v>İstihdam (Employed)</c:v>
                </c:pt>
              </c:strCache>
            </c:strRef>
          </c:tx>
          <c:marker>
            <c:symbol val="none"/>
          </c:marker>
          <c:cat>
            <c:numRef>
              <c:f>Sayfa1!$N$2:$N$13</c:f>
              <c:numCache>
                <c:formatCode>mmm\-yy</c:formatCode>
                <c:ptCount val="12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</c:numCache>
            </c:numRef>
          </c:cat>
          <c:val>
            <c:numRef>
              <c:f>Sayfa1!$O$2:$O$13</c:f>
              <c:numCache>
                <c:formatCode>###\ ###</c:formatCode>
                <c:ptCount val="12"/>
                <c:pt idx="0">
                  <c:v>25194</c:v>
                </c:pt>
                <c:pt idx="1">
                  <c:v>24999</c:v>
                </c:pt>
                <c:pt idx="2">
                  <c:v>25583</c:v>
                </c:pt>
                <c:pt idx="3">
                  <c:v>26194</c:v>
                </c:pt>
                <c:pt idx="4">
                  <c:v>26538</c:v>
                </c:pt>
                <c:pt idx="5">
                  <c:v>26586</c:v>
                </c:pt>
                <c:pt idx="6">
                  <c:v>26410</c:v>
                </c:pt>
                <c:pt idx="7">
                  <c:v>26313</c:v>
                </c:pt>
                <c:pt idx="8">
                  <c:v>26169</c:v>
                </c:pt>
                <c:pt idx="9">
                  <c:v>26138</c:v>
                </c:pt>
                <c:pt idx="10">
                  <c:v>25874</c:v>
                </c:pt>
                <c:pt idx="11">
                  <c:v>25933</c:v>
                </c:pt>
              </c:numCache>
            </c:numRef>
          </c:val>
        </c:ser>
        <c:ser>
          <c:idx val="1"/>
          <c:order val="1"/>
          <c:tx>
            <c:strRef>
              <c:f>Sayfa1!$P$1</c:f>
              <c:strCache>
                <c:ptCount val="1"/>
                <c:pt idx="0">
                  <c:v>İşgücü (Laborforce)</c:v>
                </c:pt>
              </c:strCache>
            </c:strRef>
          </c:tx>
          <c:marker>
            <c:symbol val="none"/>
          </c:marker>
          <c:cat>
            <c:numRef>
              <c:f>Sayfa1!$N$2:$N$13</c:f>
              <c:numCache>
                <c:formatCode>mmm\-yy</c:formatCode>
                <c:ptCount val="12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</c:numCache>
            </c:numRef>
          </c:cat>
          <c:val>
            <c:numRef>
              <c:f>Sayfa1!$P$2:$P$13</c:f>
              <c:numCache>
                <c:formatCode>###\ ###</c:formatCode>
                <c:ptCount val="12"/>
                <c:pt idx="0">
                  <c:v>27323</c:v>
                </c:pt>
                <c:pt idx="1">
                  <c:v>27824</c:v>
                </c:pt>
                <c:pt idx="2">
                  <c:v>28330</c:v>
                </c:pt>
                <c:pt idx="3">
                  <c:v>28773</c:v>
                </c:pt>
                <c:pt idx="4">
                  <c:v>29089</c:v>
                </c:pt>
                <c:pt idx="5">
                  <c:v>29240</c:v>
                </c:pt>
                <c:pt idx="6">
                  <c:v>29276</c:v>
                </c:pt>
                <c:pt idx="7">
                  <c:v>29257</c:v>
                </c:pt>
                <c:pt idx="8">
                  <c:v>29233</c:v>
                </c:pt>
                <c:pt idx="9">
                  <c:v>29181</c:v>
                </c:pt>
                <c:pt idx="10">
                  <c:v>28970</c:v>
                </c:pt>
                <c:pt idx="11">
                  <c:v>28786</c:v>
                </c:pt>
              </c:numCache>
            </c:numRef>
          </c:val>
        </c:ser>
        <c:dropLines/>
        <c:marker val="1"/>
        <c:axId val="116919296"/>
        <c:axId val="116925184"/>
      </c:lineChart>
      <c:dateAx>
        <c:axId val="116919296"/>
        <c:scaling>
          <c:orientation val="minMax"/>
        </c:scaling>
        <c:axPos val="b"/>
        <c:numFmt formatCode="mmm\-yy" sourceLinked="1"/>
        <c:majorTickMark val="none"/>
        <c:tickLblPos val="nextTo"/>
        <c:crossAx val="116925184"/>
        <c:crosses val="autoZero"/>
        <c:auto val="1"/>
        <c:lblOffset val="100"/>
        <c:baseTimeUnit val="months"/>
      </c:dateAx>
      <c:valAx>
        <c:axId val="1169251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Milyon</a:t>
                </a:r>
              </a:p>
            </c:rich>
          </c:tx>
        </c:title>
        <c:numFmt formatCode="###\ ###" sourceLinked="1"/>
        <c:tickLblPos val="nextTo"/>
        <c:crossAx val="11691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405446194225695"/>
          <c:y val="0.41628280839895038"/>
          <c:w val="0.28927887139107633"/>
          <c:h val="0.24613808690580344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Sayfa1!$A$42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tx2"/>
            </a:solidFill>
          </c:spPr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Sayfa1!$B$42:$E$42</c:f>
              <c:numCache>
                <c:formatCode>General</c:formatCode>
                <c:ptCount val="4"/>
                <c:pt idx="0">
                  <c:v>50.5</c:v>
                </c:pt>
                <c:pt idx="1">
                  <c:v>45.4</c:v>
                </c:pt>
                <c:pt idx="2">
                  <c:v>9.9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Sayfa1!$A$43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1"/>
            </a:solidFill>
          </c:spPr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Sayfa1!$B$43:$E$43</c:f>
              <c:numCache>
                <c:formatCode>General</c:formatCode>
                <c:ptCount val="4"/>
                <c:pt idx="0">
                  <c:v>30.3</c:v>
                </c:pt>
                <c:pt idx="1">
                  <c:v>26.7</c:v>
                </c:pt>
                <c:pt idx="2">
                  <c:v>11.9</c:v>
                </c:pt>
                <c:pt idx="3">
                  <c:v>16.5</c:v>
                </c:pt>
              </c:numCache>
            </c:numRef>
          </c:val>
        </c:ser>
        <c:ser>
          <c:idx val="2"/>
          <c:order val="2"/>
          <c:tx>
            <c:strRef>
              <c:f>Sayfa1!$A$44</c:f>
              <c:strCache>
                <c:ptCount val="1"/>
                <c:pt idx="0">
                  <c:v>Erkek</c:v>
                </c:pt>
              </c:strCache>
            </c:strRef>
          </c:tx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Sayfa1!$B$44:$E$44</c:f>
              <c:numCache>
                <c:formatCode>General</c:formatCode>
                <c:ptCount val="4"/>
                <c:pt idx="0">
                  <c:v>71.3</c:v>
                </c:pt>
                <c:pt idx="1">
                  <c:v>64.8</c:v>
                </c:pt>
                <c:pt idx="2">
                  <c:v>9</c:v>
                </c:pt>
                <c:pt idx="3">
                  <c:v>10.3</c:v>
                </c:pt>
              </c:numCache>
            </c:numRef>
          </c:val>
        </c:ser>
        <c:axId val="116980736"/>
        <c:axId val="126341888"/>
      </c:barChart>
      <c:catAx>
        <c:axId val="116980736"/>
        <c:scaling>
          <c:orientation val="minMax"/>
        </c:scaling>
        <c:axPos val="b"/>
        <c:tickLblPos val="nextTo"/>
        <c:crossAx val="126341888"/>
        <c:crosses val="autoZero"/>
        <c:auto val="1"/>
        <c:lblAlgn val="ctr"/>
        <c:lblOffset val="100"/>
      </c:catAx>
      <c:valAx>
        <c:axId val="126341888"/>
        <c:scaling>
          <c:orientation val="minMax"/>
        </c:scaling>
        <c:axPos val="l"/>
        <c:majorGridlines/>
        <c:numFmt formatCode="General" sourceLinked="1"/>
        <c:tickLblPos val="nextTo"/>
        <c:crossAx val="1169807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9718C-DCF9-4228-8D50-6B8639A0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2</cp:revision>
  <cp:lastPrinted>2015-01-15T08:00:00Z</cp:lastPrinted>
  <dcterms:created xsi:type="dcterms:W3CDTF">2015-03-10T06:58:00Z</dcterms:created>
  <dcterms:modified xsi:type="dcterms:W3CDTF">2015-03-10T06:58:00Z</dcterms:modified>
</cp:coreProperties>
</file>